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/>
        </w:trPr>
        <w:tc>
          <w:tcPr>
            <w:tcW w:type="dxa" w:w="936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2"/>
              </w:rPr>
              <w:t>PROPOSTA TÉCNICA E COMERCIAL  |  AO CONSÓRCIO SHA MOBILIDADE ARICANDUVA</w:t>
            </w:r>
          </w:p>
        </w:tc>
      </w:tr>
    </w:tbl>
    <w:p/>
    <w:p/>
    <w:p/>
    <w:p>
      <w:pPr>
        <w:spacing w:after="120"/>
        <w:jc w:val="center"/>
      </w:pPr>
      <w:r>
        <w:rPr>
          <w:rFonts w:ascii="Calibri" w:hAnsi="Calibri" w:eastAsia="Calibri"/>
          <w:b/>
          <w:i w:val="0"/>
          <w:color w:val="2E74B5"/>
          <w:sz w:val="26"/>
        </w:rPr>
        <w:t>MODELAGEM BIM EM AUTODESK REVIT</w:t>
      </w:r>
    </w:p>
    <w:p>
      <w:pPr>
        <w:spacing w:after="160"/>
        <w:jc w:val="center"/>
      </w:pPr>
      <w:r>
        <w:rPr>
          <w:rFonts w:ascii="Calibri" w:hAnsi="Calibri" w:eastAsia="Calibri"/>
          <w:b/>
          <w:i w:val="0"/>
          <w:color w:val="17365D"/>
          <w:sz w:val="54"/>
        </w:rPr>
        <w:t>Uma parada do sistema BRT</w:t>
      </w:r>
    </w:p>
    <w:p>
      <w:pPr>
        <w:spacing w:after="480"/>
        <w:jc w:val="center"/>
      </w:pPr>
      <w:r>
        <w:rPr>
          <w:rFonts w:ascii="Calibri" w:hAnsi="Calibri" w:eastAsia="Calibri"/>
          <w:b w:val="0"/>
          <w:i w:val="0"/>
          <w:color w:val="1F4D78"/>
          <w:sz w:val="26"/>
        </w:rPr>
        <w:t>Arquitetura, estruturas, instalações e coordenação BIM | LOD 300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280"/>
        <w:gridCol w:w="3400"/>
        <w:gridCol w:w="1280"/>
        <w:gridCol w:w="3400"/>
      </w:tblGrid>
      <w:tr>
        <w:trPr>
          <w:tblHeader w:val="true"/>
          <w:cantSplit/>
        </w:trPr>
        <w:tc>
          <w:tcPr>
            <w:tcW w:type="dxa" w:w="128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Campo</w:t>
            </w:r>
          </w:p>
        </w:tc>
        <w:tc>
          <w:tcPr>
            <w:tcW w:type="dxa" w:w="3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Registro</w:t>
            </w:r>
          </w:p>
        </w:tc>
        <w:tc>
          <w:tcPr>
            <w:tcW w:type="dxa" w:w="128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Campo</w:t>
            </w:r>
          </w:p>
        </w:tc>
        <w:tc>
          <w:tcPr>
            <w:tcW w:type="dxa" w:w="3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Registro</w:t>
            </w:r>
          </w:p>
        </w:tc>
      </w:tr>
      <w:tr>
        <w:trPr>
          <w:cantSplit/>
        </w:trPr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Destinatário</w:t>
            </w:r>
          </w:p>
        </w:tc>
        <w:tc>
          <w:tcPr>
            <w:tcW w:type="dxa" w:w="340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8"/>
              </w:rPr>
              <w:t>Consórcio SHA Mobilidade Aricanduva</w:t>
            </w:r>
          </w:p>
        </w:tc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Parada</w:t>
            </w:r>
          </w:p>
        </w:tc>
        <w:tc>
          <w:tcPr>
            <w:tcW w:type="dxa" w:w="340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8"/>
              </w:rPr>
              <w:t>A indicar no kickoff</w:t>
            </w:r>
          </w:p>
        </w:tc>
      </w:tr>
      <w:tr>
        <w:trPr>
          <w:cantSplit/>
        </w:trPr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Prazo líquido</w:t>
            </w:r>
          </w:p>
        </w:tc>
        <w:tc>
          <w:tcPr>
            <w:tcW w:type="dxa" w:w="340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8"/>
              </w:rPr>
              <w:t>22 dias úteis (aprox. 1 mês)</w:t>
            </w:r>
          </w:p>
        </w:tc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Esforço-base</w:t>
            </w:r>
          </w:p>
        </w:tc>
        <w:tc>
          <w:tcPr>
            <w:tcW w:type="dxa" w:w="340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8"/>
              </w:rPr>
              <w:t>48 homem-dia</w:t>
            </w:r>
          </w:p>
        </w:tc>
      </w:tr>
      <w:tr>
        <w:trPr>
          <w:cantSplit/>
        </w:trPr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Preço total</w:t>
            </w:r>
          </w:p>
        </w:tc>
        <w:tc>
          <w:tcPr>
            <w:tcW w:type="dxa" w:w="340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8"/>
              </w:rPr>
              <w:t>R$ 25.300,00</w:t>
            </w:r>
          </w:p>
        </w:tc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Status</w:t>
            </w:r>
          </w:p>
        </w:tc>
        <w:tc>
          <w:tcPr>
            <w:tcW w:type="dxa" w:w="340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8"/>
              </w:rPr>
              <w:t>Proposta comercial</w:t>
            </w:r>
          </w:p>
        </w:tc>
      </w:tr>
      <w:tr>
        <w:trPr>
          <w:cantSplit/>
        </w:trPr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Data-base</w:t>
            </w:r>
          </w:p>
        </w:tc>
        <w:tc>
          <w:tcPr>
            <w:tcW w:type="dxa" w:w="340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8"/>
              </w:rPr>
              <w:t>21 de agosto de 2026</w:t>
            </w:r>
          </w:p>
        </w:tc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Versão</w:t>
            </w:r>
          </w:p>
        </w:tc>
        <w:tc>
          <w:tcPr>
            <w:tcW w:type="dxa" w:w="340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8"/>
              </w:rPr>
              <w:t>1.1</w:t>
            </w:r>
          </w:p>
        </w:tc>
      </w:tr>
    </w:tbl>
    <w:p>
      <w:pPr>
        <w:spacing w:before="0" w:after="4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/>
        </w:trPr>
        <w:tc>
          <w:tcPr>
            <w:tcW w:type="dxa" w:w="9360"/>
            <w:shd w:fill="EAF3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OBJETO DA PROPOSTA</w:t>
            </w:r>
          </w:p>
          <w:p>
            <w:pPr>
              <w:spacing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1F4D78"/>
                <w:sz w:val="20"/>
              </w:rPr>
              <w:t>Modelar em Revit uma única parada, formalmente indicada pelo Consórcio SHA Mobilidade Aricanduva, a partir dos documentos vigentes fornecidos após a contratação. A atividade é de transposição e coordenação geométrica; não inclui elaboração, revisão ou dimensionamento dos projetos de engenharia.</w:t>
            </w:r>
          </w:p>
        </w:tc>
      </w:tr>
    </w:tbl>
    <w:p>
      <w:pPr>
        <w:spacing w:after="0"/>
      </w:pPr>
    </w:p>
    <w:p>
      <w:pPr>
        <w:pStyle w:val="ProposalSmall"/>
        <w:jc w:val="center"/>
      </w:pPr>
      <w:r>
        <w:rPr>
          <w:rFonts w:ascii="Calibri" w:hAnsi="Calibri" w:eastAsia="Calibri"/>
          <w:b/>
          <w:i w:val="0"/>
          <w:color w:val="5B6573"/>
          <w:sz w:val="17"/>
        </w:rPr>
        <w:t>Preço global proposto: R$ 25.300,00. Validade comercial: 15 dias corridos.</w:t>
      </w:r>
    </w:p>
    <w:p>
      <w:r>
        <w:br w:type="page"/>
      </w:r>
    </w:p>
    <w:p>
      <w:pPr>
        <w:pStyle w:val="Heading1"/>
      </w:pPr>
      <w:r>
        <w:t>1. Síntese da proposta</w:t>
      </w:r>
    </w:p>
    <w:p>
      <w:r>
        <w:rPr>
          <w:rFonts w:ascii="Calibri" w:hAnsi="Calibri" w:eastAsia="Calibri"/>
          <w:b w:val="0"/>
          <w:i w:val="0"/>
          <w:color w:val="1F2937"/>
          <w:sz w:val="22"/>
        </w:rPr>
        <w:t>Apresenta-se ao Consórcio SHA Mobilidade Aricanduva, formado por Souza Compec Engenharia e Construções, Heca Construtora e Arvek Técnica e Construções, esta proposta para desenvolver o modelo BIM de uma única parada BRT, em LOD 300, reunindo arquitetura, estruturas de concreto e fundações, estrutura metálica, instalações elétricas, instalações hidrossanitárias, segurança contra incêndio e coordenação BIM. O preço global proposto é de R$ 25.300,00, condicionado à confirmação da parada e ao recebimento dos arquivos nativos completos.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Parâmetro</w:t>
            </w:r>
          </w:p>
        </w:tc>
        <w:tc>
          <w:tcPr>
            <w:tcW w:type="dxa" w:w="71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Premissa da proposta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Unidade contratada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Uma parada nominal do BRT, limitada à sua envoltória e aos pontos de conexão representados nos projetos.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Nível de desenvolvimento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LOD 300 para coordenação e documentação da geometria fornecida.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Disciplinas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Arquitetura; concreto/fundações; estrutura metálica; elétrica; hidrossanitária; incêndio; coordenação BIM.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Prazo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22 dias úteis de produção, equivalentes a aproximadamente um mês, com disciplinas em paralelo; tempo de análise do cliente não incluído.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Revisões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Uma rodada de comentários consolidada e uma emissão final.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Preço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R$ 25.300,00 (vinte e cinco mil e trezentos reais), conforme composição comercial desta proposta.</w:t>
            </w:r>
          </w:p>
        </w:tc>
      </w:tr>
    </w:tbl>
    <w:p>
      <w:pPr>
        <w:spacing w:before="0" w:after="40"/>
      </w:pPr>
    </w:p>
    <w:p>
      <w:pPr>
        <w:pStyle w:val="Heading1"/>
      </w:pPr>
      <w:r>
        <w:t>2. Base de referência e marco de início</w:t>
      </w:r>
    </w:p>
    <w:p>
      <w:pPr>
        <w:pStyle w:val="Heading2"/>
      </w:pPr>
      <w:r>
        <w:t>2.1 Acervo analisado</w:t>
      </w:r>
    </w:p>
    <w:p>
      <w:r>
        <w:rPr>
          <w:rFonts w:ascii="Calibri" w:hAnsi="Calibri" w:eastAsia="Calibri"/>
          <w:b w:val="0"/>
          <w:i w:val="0"/>
          <w:color w:val="1F2937"/>
          <w:sz w:val="22"/>
        </w:rPr>
        <w:t>Para dimensionamento preliminar, foi estudado o acervo BRT_Proposta, composto por 178 PDFs únicos distribuídos em sete pacotes técnicos, além de um arquivo ZIP que espelha o pacote elétrico. O conjunto permite compreender a solução e os sistemas da parada, mas não substitui a base contratual vigente.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/>
        </w:trPr>
        <w:tc>
          <w:tcPr>
            <w:tcW w:type="dxa" w:w="936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7F6000"/>
                <w:sz w:val="21"/>
              </w:rPr>
              <w:t>ATENÇÃO À BASE NATIVA</w:t>
            </w:r>
          </w:p>
          <w:p>
            <w:pPr>
              <w:spacing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20"/>
              </w:rPr>
              <w:t>No conjunto efetivamente examinado não foram localizados arquivos DWG nem memoriais nativos. A proposta pressupõe que, após a contratação, o Contratante fornecerá os DWGs, memoriais, especificações, lista mestra e revisões vigentes aplicáveis à parada escolhida. Se a produção tiver de partir apenas de PDFs, prazo e esforço deverão ser reavaliados.</w:t>
            </w:r>
          </w:p>
        </w:tc>
      </w:tr>
    </w:tbl>
    <w:p>
      <w:pPr>
        <w:spacing w:after="0"/>
      </w:pPr>
    </w:p>
    <w:p>
      <w:pPr>
        <w:pStyle w:val="Heading2"/>
      </w:pPr>
      <w:r>
        <w:t>2.2 Marco de Liberação para Produção</w:t>
      </w:r>
    </w:p>
    <w:p>
      <w:r>
        <w:rPr>
          <w:rFonts w:ascii="Calibri" w:hAnsi="Calibri" w:eastAsia="Calibri"/>
          <w:b w:val="0"/>
          <w:i w:val="0"/>
          <w:color w:val="1F2937"/>
          <w:sz w:val="22"/>
        </w:rPr>
        <w:t>O prazo começará somente após o recebimento e a validação conjunta dos seguintes insumos: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identificação formal da parada e confirmação de quais plataformas ou sentidos integram a mesma unidade contratada;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relação mestra de documentos aplicáveis, revisões vigentes e documentos superados;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DWGs nativos, PDFs de referência, memoriais, especificações, legendas e tabelas;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unidades, origem, coordenadas, níveis, eixos e referência topográfica, quando aplicável;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versão do Revit, formatos finais, template, nomenclatura e parâmetros do cliente, se existentes;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ponto focal técnico autorizado a responder RFIs (Request for Information, as solicitações formais de esclarecimento ao autor do projeto) durante a produção.</w:t>
      </w:r>
    </w:p>
    <w:p>
      <w:r>
        <w:rPr>
          <w:rFonts w:ascii="Calibri" w:hAnsi="Calibri" w:eastAsia="Calibri"/>
          <w:b w:val="0"/>
          <w:i w:val="0"/>
          <w:color w:val="1F2937"/>
          <w:sz w:val="22"/>
        </w:rPr>
        <w:t>Os dois primeiros dias úteis de produção serão usados para conferência das entradas, configuração dos modelos e congelamento da base inicial.</w:t>
      </w:r>
    </w:p>
    <w:p>
      <w:pPr>
        <w:pStyle w:val="Heading1"/>
      </w:pPr>
      <w:r>
        <w:t>3. Escopo técnico por disciplina</w:t>
      </w:r>
    </w:p>
    <w:p>
      <w:r>
        <w:rPr>
          <w:rFonts w:ascii="Calibri" w:hAnsi="Calibri" w:eastAsia="Calibri"/>
          <w:b w:val="0"/>
          <w:i w:val="0"/>
          <w:color w:val="1F2937"/>
          <w:sz w:val="22"/>
        </w:rPr>
        <w:t>A modelagem reproduzirá a intenção dos documentos vigentes, dentro da envoltória física da parada e até os limites ou pontos de conexão representados. Elementos sem definição suficiente serão registrados como pendência ou RFI.</w:t>
      </w:r>
    </w:p>
    <w:p>
      <w:pPr>
        <w:pStyle w:val="Heading2"/>
      </w:pPr>
      <w:r>
        <w:t>3.1 Arquitetura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níveis, eixos, plataforma, pisos, paredes, forros e cobertura arquitetônica;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rampas, escadas, guarda-corpos, corrimãos, portas, esquadrias e rotas acessíveis;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sanitários, ambientes técnicos, equipamentos fixos e mobiliário genérico indicado;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piso tátil, sinalização e acabamentos com expressão geométrica relevante para coordenação.</w:t>
      </w:r>
    </w:p>
    <w:p>
      <w:pPr>
        <w:pStyle w:val="ProposalNote"/>
      </w:pPr>
      <w:r>
        <w:rPr>
          <w:rFonts w:ascii="Calibri" w:hAnsi="Calibri" w:eastAsia="Calibri"/>
          <w:b/>
          <w:i w:val="0"/>
          <w:color w:val="1F4D78"/>
          <w:sz w:val="20"/>
        </w:rPr>
        <w:t xml:space="preserve">Limite: </w:t>
      </w:r>
      <w:r>
        <w:rPr>
          <w:rFonts w:ascii="Calibri" w:hAnsi="Calibri" w:eastAsia="Calibri"/>
          <w:b w:val="0"/>
          <w:i w:val="0"/>
          <w:color w:val="1F4D78"/>
          <w:sz w:val="20"/>
        </w:rPr>
        <w:t>não inclui renderização, projeto executivo adicional, paisagismo, urbanização externa, biblioteca independente de famílias ou reprodução integral das pranchas em folhas Revit.</w:t>
      </w:r>
    </w:p>
    <w:p>
      <w:pPr>
        <w:pStyle w:val="Heading2"/>
      </w:pPr>
      <w:r>
        <w:t>3.2 Estruturas de concreto e fundações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estacas como elementos geométricos conforme posição e dimensões informadas;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blocos, vigas de equilíbrio ou baldrame, bases, pedestais, lajes e elementos de concreto indicados;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muros ou contenções diretamente vinculados à parada;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reservas, arranques e chumbadores apenas como interfaces geométricas quando definidos.</w:t>
      </w:r>
    </w:p>
    <w:p>
      <w:pPr>
        <w:pStyle w:val="ProposalNote"/>
      </w:pPr>
      <w:r>
        <w:rPr>
          <w:rFonts w:ascii="Calibri" w:hAnsi="Calibri" w:eastAsia="Calibri"/>
          <w:b/>
          <w:i w:val="0"/>
          <w:color w:val="1F4D78"/>
          <w:sz w:val="20"/>
        </w:rPr>
        <w:t xml:space="preserve">Limite: </w:t>
      </w:r>
      <w:r>
        <w:rPr>
          <w:rFonts w:ascii="Calibri" w:hAnsi="Calibri" w:eastAsia="Calibri"/>
          <w:b w:val="0"/>
          <w:i w:val="0"/>
          <w:color w:val="1F4D78"/>
          <w:sz w:val="20"/>
        </w:rPr>
        <w:t>não inclui recálculo, dimensionamento, verificação estrutural ou geotécnica, armaduras, listas de aço, provas de carga ou metodologia executiva.</w:t>
      </w:r>
    </w:p>
    <w:p>
      <w:r>
        <w:br w:type="page"/>
      </w:r>
    </w:p>
    <w:p>
      <w:pPr>
        <w:pStyle w:val="Heading2"/>
      </w:pPr>
      <w:r>
        <w:t>3.3 Estrutura metálica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pilares, vigas, pórticos, treliças, terças, tirantes e contraventamentos;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perfis, chapas principais, bases e interfaces com as estruturas de concreto;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geometria estrutural da cobertura, calhas e suportes principais indicados;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parâmetros básicos de identificação, perfil, material e peso teórico quando aplicáveis.</w:t>
      </w:r>
    </w:p>
    <w:p>
      <w:pPr>
        <w:pStyle w:val="ProposalNote"/>
      </w:pPr>
      <w:r>
        <w:rPr>
          <w:rFonts w:ascii="Calibri" w:hAnsi="Calibri" w:eastAsia="Calibri"/>
          <w:b/>
          <w:i w:val="0"/>
          <w:color w:val="1F4D78"/>
          <w:sz w:val="20"/>
        </w:rPr>
        <w:t xml:space="preserve">Limite: </w:t>
      </w:r>
      <w:r>
        <w:rPr>
          <w:rFonts w:ascii="Calibri" w:hAnsi="Calibri" w:eastAsia="Calibri"/>
          <w:b w:val="0"/>
          <w:i w:val="0"/>
          <w:color w:val="1F4D78"/>
          <w:sz w:val="20"/>
        </w:rPr>
        <w:t>não inclui parafusos, soldas, ligações em nível de fabricação, shop drawings, arquivos CNC, detalhamento de montagem ou garantia de quantitativos de fabricação.</w:t>
      </w:r>
    </w:p>
    <w:p>
      <w:pPr>
        <w:pStyle w:val="Heading2"/>
      </w:pPr>
      <w:r>
        <w:t>3.4 Instalações elétricas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quadros, luminárias, tomadas, equipamentos e pontos elétricos indicados;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eletrocalhas, conduítes e rotas principais representadas nos desenhos;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associação básica de sistemas e circuitos conforme identificação fornecida;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interfaces geométricas de entrada de energia, aterramento e SPDA quando documentadas.</w:t>
      </w:r>
    </w:p>
    <w:p>
      <w:pPr>
        <w:pStyle w:val="ProposalNote"/>
      </w:pPr>
      <w:r>
        <w:rPr>
          <w:rFonts w:ascii="Calibri" w:hAnsi="Calibri" w:eastAsia="Calibri"/>
          <w:b/>
          <w:i w:val="0"/>
          <w:color w:val="1F4D78"/>
          <w:sz w:val="20"/>
        </w:rPr>
        <w:t xml:space="preserve">Limite: </w:t>
      </w:r>
      <w:r>
        <w:rPr>
          <w:rFonts w:ascii="Calibri" w:hAnsi="Calibri" w:eastAsia="Calibri"/>
          <w:b w:val="0"/>
          <w:i w:val="0"/>
          <w:color w:val="1F4D78"/>
          <w:sz w:val="20"/>
        </w:rPr>
        <w:t>não inclui cálculo de demanda, curto-circuito, seletividade, dimensionamento, projeto de SPDA, definição de cargas conflitantes nem modelagem detalhada de cabos e fios.</w:t>
      </w:r>
    </w:p>
    <w:p>
      <w:pPr>
        <w:pStyle w:val="Heading2"/>
      </w:pPr>
      <w:r>
        <w:t>3.5 Instalações hidrossanitárias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água fria, esgoto, ventilação e drenagem dentro do limite da parada;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aparelhos, caixas, reservatório, pressurizador e equipamentos indicados;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tubulações e conexões principais até os pontos de ligação documentados;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interfaces com piso, fundações e ambientes técnicos.</w:t>
      </w:r>
    </w:p>
    <w:p>
      <w:pPr>
        <w:pStyle w:val="ProposalNote"/>
      </w:pPr>
      <w:r>
        <w:rPr>
          <w:rFonts w:ascii="Calibri" w:hAnsi="Calibri" w:eastAsia="Calibri"/>
          <w:b/>
          <w:i w:val="0"/>
          <w:color w:val="1F4D78"/>
          <w:sz w:val="20"/>
        </w:rPr>
        <w:t xml:space="preserve">Limite: </w:t>
      </w:r>
      <w:r>
        <w:rPr>
          <w:rFonts w:ascii="Calibri" w:hAnsi="Calibri" w:eastAsia="Calibri"/>
          <w:b w:val="0"/>
          <w:i w:val="0"/>
          <w:color w:val="1F4D78"/>
          <w:sz w:val="20"/>
        </w:rPr>
        <w:t>não inclui cálculo hidráulico, definição de cotas ausentes, cadastro de redes externas, projeto de novas ligações ou levantamento das concessionárias.</w:t>
      </w:r>
    </w:p>
    <w:p>
      <w:pPr>
        <w:pStyle w:val="Heading2"/>
      </w:pPr>
      <w:r>
        <w:t>3.6 Segurança contra incêndio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extintores, sinalização, iluminação de emergência e dispositivos explicitamente indicados;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rotas, saídas e elementos geométricos necessários à coordenação do modelo;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vinculação dos componentes de incêndio às bases arquitetônica e elétrica.</w:t>
      </w:r>
    </w:p>
    <w:p>
      <w:pPr>
        <w:pStyle w:val="ProposalNote"/>
      </w:pPr>
      <w:r>
        <w:rPr>
          <w:rFonts w:ascii="Calibri" w:hAnsi="Calibri" w:eastAsia="Calibri"/>
          <w:b/>
          <w:i w:val="0"/>
          <w:color w:val="1F4D78"/>
          <w:sz w:val="20"/>
        </w:rPr>
        <w:t xml:space="preserve">Limite: </w:t>
      </w:r>
      <w:r>
        <w:rPr>
          <w:rFonts w:ascii="Calibri" w:hAnsi="Calibri" w:eastAsia="Calibri"/>
          <w:b w:val="0"/>
          <w:i w:val="0"/>
          <w:color w:val="1F4D78"/>
          <w:sz w:val="20"/>
        </w:rPr>
        <w:t>não inclui aprovação legal, cálculo de carga de incêndio, recálculo de população, estudo de abandono ou criação de sistemas não documentados.</w:t>
      </w:r>
    </w:p>
    <w:p>
      <w:pPr>
        <w:pStyle w:val="Heading2"/>
      </w:pPr>
      <w:r>
        <w:t>3.7 Coordenação BIM e federação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configuração de unidades, origem, níveis, eixos, vínculos, nomenclatura e organização dos arquivos;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federação dos modelos disciplinares e verificações de coordenadas e interferências;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auditoria, limpeza, controle de qualidade e índice de emissão;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registro de pendências, conflitos e RFIs, com uma rodada consolidada de ajustes.</w:t>
      </w:r>
    </w:p>
    <w:p>
      <w:pPr>
        <w:pStyle w:val="ProposalNote"/>
      </w:pPr>
      <w:r>
        <w:rPr>
          <w:rFonts w:ascii="Calibri" w:hAnsi="Calibri" w:eastAsia="Calibri"/>
          <w:b/>
          <w:i w:val="0"/>
          <w:color w:val="1F4D78"/>
          <w:sz w:val="20"/>
        </w:rPr>
        <w:t xml:space="preserve">Limite: </w:t>
      </w:r>
      <w:r>
        <w:rPr>
          <w:rFonts w:ascii="Calibri" w:hAnsi="Calibri" w:eastAsia="Calibri"/>
          <w:b w:val="0"/>
          <w:i w:val="0"/>
          <w:color w:val="1F4D78"/>
          <w:sz w:val="20"/>
        </w:rPr>
        <w:t>não inclui administração de ACC/BIM 360, gestão de modelos de terceiros, BEP corporativo completo ou compromisso de zero interferência quando o projeto de origem permanecer indefinido.</w:t>
      </w:r>
    </w:p>
    <w:p>
      <w:pPr>
        <w:pStyle w:val="Heading1"/>
      </w:pPr>
      <w:r>
        <w:t>4. Entregáveis, padrão e critérios de aceitação</w:t>
      </w:r>
    </w:p>
    <w:p>
      <w:pPr>
        <w:pStyle w:val="Heading2"/>
      </w:pPr>
      <w:r>
        <w:t>4.1 Entregáveis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modelo RVT de arquitetura;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modelo RVT de estruturas de concreto e fundações;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modelo RVT de estrutura metálica;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modelo RVT de instalações elétricas;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modelo RVT de instalações hidrossanitárias;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modelo RVT de segurança contra incêndio;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modelo federado de coordenação em RVT e/ou NWC;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exportação IFC final por disciplina, caso requerida e com versão previamente acordada;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relatório de interferências, pendências e RFIs;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índice de entrega com arquivos, versões, revisões e status.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/>
        </w:trPr>
        <w:tc>
          <w:tcPr>
            <w:tcW w:type="dxa" w:w="9360"/>
            <w:shd w:fill="EAF3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ENTREGA DE MODELOS</w:t>
            </w:r>
          </w:p>
          <w:p>
            <w:pPr>
              <w:spacing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1F4D78"/>
                <w:sz w:val="20"/>
              </w:rPr>
              <w:t>O objeto contratado é a modelagem. A extração, diagramação e emissão de um conjunto completo de pranchas executivas ou de fabricação não está incluída e poderá ser cotada separadamente.</w:t>
            </w:r>
          </w:p>
        </w:tc>
      </w:tr>
    </w:tbl>
    <w:p>
      <w:pPr>
        <w:spacing w:after="0"/>
      </w:pPr>
    </w:p>
    <w:p>
      <w:pPr>
        <w:pStyle w:val="Heading2"/>
      </w:pPr>
      <w:r>
        <w:t>4.2 Padrão de modelagem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LOD 300: dimensões, localização, orientação e sistemas compatíveis com a documentação vigente;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informações não geométricas limitadas a identificação, disciplina, sistema, tipo e material quando definidos;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famílias genéricas ou equivalentes, suficientes para coordenação;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versão do Revit definida antes do início, considerando que não há conversão nativa para versões anteriores;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hierarquia entre DWG, memorial, especificação, PDF e instrução formal definida na mobilização.</w:t>
      </w:r>
    </w:p>
    <w:p>
      <w:pPr>
        <w:pStyle w:val="Heading2"/>
      </w:pPr>
      <w:r>
        <w:t>4.3 Critérios de aceitação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arquivos abrem corretamente na versão acordada;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origem, unidades, níveis, eixos e vínculos estão coerentes;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elementos previstos no escopo estão representados conforme a base congelada;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nomenclatura, organização e parâmetros acordados estão aplicados;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não há erros impeditivos ou avisos críticos atribuíveis à modelagem;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interferências e inconsistências estão resolvidas, formalmente aceitas ou registradas em RFI;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todos os arquivos e relatórios previstos constam no índice de entrega.</w:t>
      </w:r>
    </w:p>
    <w:p>
      <w:r>
        <w:rPr>
          <w:rFonts w:ascii="Calibri" w:hAnsi="Calibri" w:eastAsia="Calibri"/>
          <w:b w:val="0"/>
          <w:i w:val="0"/>
          <w:color w:val="1F2937"/>
          <w:sz w:val="22"/>
        </w:rPr>
        <w:t>A aceitação mede fidelidade e organização da modelagem; não certifica suficiência técnica, conformidade normativa ou aptidão dos projetos de engenharia fornecidos.</w:t>
      </w:r>
    </w:p>
    <w:p>
      <w:pPr>
        <w:pStyle w:val="Heading1"/>
      </w:pPr>
      <w:r>
        <w:t>5. Metodologia e cronograma</w:t>
      </w:r>
    </w:p>
    <w:p>
      <w:pPr>
        <w:pStyle w:val="Heading2"/>
      </w:pPr>
      <w:r>
        <w:t>5.1 Fluxo de execução</w:t>
      </w:r>
    </w:p>
    <w:p>
      <w:pPr>
        <w:keepLines/>
        <w:numPr>
          <w:ilvl w:val="0"/>
          <w:numId w:val="5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Validar a parada, a lista mestra, as revisões e os arquivos nativos recebidos.</w:t>
      </w:r>
    </w:p>
    <w:p>
      <w:pPr>
        <w:keepLines/>
        <w:numPr>
          <w:ilvl w:val="0"/>
          <w:numId w:val="5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Configurar unidades, coordenadas, níveis, eixos, vínculos, templates e nomenclatura.</w:t>
      </w:r>
    </w:p>
    <w:p>
      <w:pPr>
        <w:keepLines/>
        <w:numPr>
          <w:ilvl w:val="0"/>
          <w:numId w:val="5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Modelar arquitetura e estruturas; liberar bases parciais estáveis para as disciplinas MEP.</w:t>
      </w:r>
    </w:p>
    <w:p>
      <w:pPr>
        <w:keepLines/>
        <w:numPr>
          <w:ilvl w:val="0"/>
          <w:numId w:val="5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Federar modelos, identificar interferências e emitir RFIs para definições do projeto de origem.</w:t>
      </w:r>
    </w:p>
    <w:p>
      <w:pPr>
        <w:keepLines/>
        <w:numPr>
          <w:ilvl w:val="0"/>
          <w:numId w:val="5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Emitir versão preliminar, incorporar uma rodada consolidada de comentários e realizar a verificação final do modelo.</w:t>
      </w:r>
    </w:p>
    <w:p>
      <w:pPr>
        <w:pStyle w:val="Heading2"/>
      </w:pPr>
      <w:r>
        <w:t>5.2 Cronograma-base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900"/>
        <w:gridCol w:w="1200"/>
        <w:gridCol w:w="700"/>
        <w:gridCol w:w="700"/>
        <w:gridCol w:w="3960"/>
      </w:tblGrid>
      <w:tr>
        <w:trPr>
          <w:tblHeader w:val="true"/>
          <w:cantSplit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Pacote</w:t>
            </w:r>
          </w:p>
        </w:tc>
        <w:tc>
          <w:tcPr>
            <w:tcW w:type="dxa" w:w="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Esforço</w:t>
            </w:r>
          </w:p>
        </w:tc>
        <w:tc>
          <w:tcPr>
            <w:tcW w:type="dxa" w:w="1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Prazo próprio</w:t>
            </w:r>
          </w:p>
        </w:tc>
        <w:tc>
          <w:tcPr>
            <w:tcW w:type="dxa" w:w="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Início</w:t>
            </w:r>
          </w:p>
        </w:tc>
        <w:tc>
          <w:tcPr>
            <w:tcW w:type="dxa" w:w="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Fim</w:t>
            </w:r>
          </w:p>
        </w:tc>
        <w:tc>
          <w:tcPr>
            <w:tcW w:type="dxa" w:w="39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Dependência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Arquitetura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8 HD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8 dias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D3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D10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Modelagem base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Concreto e fundações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7 HD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7 dias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D3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D9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Em paralelo à arquitetura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Estrutura metálica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9 HD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9 dias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D5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D13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Depende de eixos e apoios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Elétrica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7 HD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7 dias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D9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D15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Após estabilização parcial da arquitetura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Hidrossanitária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5 HD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5 dias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D9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D13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Após níveis e ambientes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Incêndio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4 HD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4 dias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D14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D17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Integra arquitetura e elétrica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Coordenação BIM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8 HD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22 dias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D1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D22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Atuação distribuída</w:t>
            </w:r>
          </w:p>
        </w:tc>
      </w:tr>
      <w:tr>
        <w:trPr>
          <w:cantSplit/>
        </w:trPr>
        <w:tc>
          <w:tcPr>
            <w:tcW w:type="dxa" w:w="1900"/>
            <w:shd w:fill="EAF3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TOTAL</w:t>
            </w:r>
          </w:p>
        </w:tc>
        <w:tc>
          <w:tcPr>
            <w:tcW w:type="dxa" w:w="900"/>
            <w:shd w:fill="EAF3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48 HD</w:t>
            </w:r>
          </w:p>
        </w:tc>
        <w:tc>
          <w:tcPr>
            <w:tcW w:type="dxa" w:w="1200"/>
            <w:shd w:fill="EAF3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22 dias úteis</w:t>
            </w:r>
          </w:p>
        </w:tc>
        <w:tc>
          <w:tcPr>
            <w:tcW w:type="dxa" w:w="700"/>
            <w:shd w:fill="EAF3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D1</w:t>
            </w:r>
          </w:p>
        </w:tc>
        <w:tc>
          <w:tcPr>
            <w:tcW w:type="dxa" w:w="700"/>
            <w:shd w:fill="EAF3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D22</w:t>
            </w:r>
          </w:p>
        </w:tc>
        <w:tc>
          <w:tcPr>
            <w:tcW w:type="dxa" w:w="3960"/>
            <w:shd w:fill="EAF3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Prazo-calendário não é soma das linhas</w:t>
            </w:r>
          </w:p>
        </w:tc>
      </w:tr>
    </w:tbl>
    <w:p>
      <w:pPr>
        <w:spacing w:before="0" w:after="4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/>
        </w:trPr>
        <w:tc>
          <w:tcPr>
            <w:tcW w:type="dxa" w:w="9360"/>
            <w:shd w:fill="E2F0D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375623"/>
                <w:sz w:val="21"/>
              </w:rPr>
              <w:t>PRAZO CONTRATUAL PROPOSTO</w:t>
            </w:r>
          </w:p>
          <w:p>
            <w:pPr>
              <w:spacing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375623"/>
                <w:sz w:val="20"/>
              </w:rPr>
              <w:t>22 dias úteis de produção, equivalentes a aproximadamente um mês, sob responsabilidade da Contratada. A emissão preliminar ocorrerá até o 19º dia útil; a emissão final será realizada em até 3 dias úteis após o recebimento dos comentários consolidados. O período de análise do cliente não integra o prazo líquido de produção.</w:t>
            </w:r>
          </w:p>
        </w:tc>
      </w:tr>
    </w:tbl>
    <w:p>
      <w:pPr>
        <w:spacing w:after="0"/>
      </w:pPr>
    </w:p>
    <w:p>
      <w:pPr>
        <w:pStyle w:val="Heading1"/>
      </w:pPr>
      <w:r>
        <w:t>6. Equipe prevista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1300"/>
        <w:gridCol w:w="5560"/>
      </w:tblGrid>
      <w:tr>
        <w:trPr>
          <w:tblHeader w:val="true"/>
          <w:cantSplit/>
        </w:trPr>
        <w:tc>
          <w:tcPr>
            <w:tcW w:type="dxa" w:w="2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Perfil</w:t>
            </w:r>
          </w:p>
        </w:tc>
        <w:tc>
          <w:tcPr>
            <w:tcW w:type="dxa" w:w="1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Quantidade</w:t>
            </w:r>
          </w:p>
        </w:tc>
        <w:tc>
          <w:tcPr>
            <w:tcW w:type="dxa" w:w="55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Responsabilidade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Coordenação BIM / gestão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1</w:t>
            </w:r>
          </w:p>
        </w:tc>
        <w:tc>
          <w:tcPr>
            <w:tcW w:type="dxa" w:w="5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Mobilização, interfaces, RFIs, federação, cronograma e controle de qualidade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Modelagem de arquitetura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1</w:t>
            </w:r>
          </w:p>
        </w:tc>
        <w:tc>
          <w:tcPr>
            <w:tcW w:type="dxa" w:w="5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Modelo arquitetônico e base para coordenação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Modelagem de concreto/fundações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1</w:t>
            </w:r>
          </w:p>
        </w:tc>
        <w:tc>
          <w:tcPr>
            <w:tcW w:type="dxa" w:w="5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Elementos de concreto e interfaces com fundações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Modelagem de estrutura metálica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1</w:t>
            </w:r>
          </w:p>
        </w:tc>
        <w:tc>
          <w:tcPr>
            <w:tcW w:type="dxa" w:w="5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Perfis, pórticos, cobertura e interfaces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Modelagem Revit MEP, elétrica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1</w:t>
            </w:r>
          </w:p>
        </w:tc>
        <w:tc>
          <w:tcPr>
            <w:tcW w:type="dxa" w:w="5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Sistemas e rotas elétricas documentadas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Modelagem Revit MEP, HID/INC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1</w:t>
            </w:r>
          </w:p>
        </w:tc>
        <w:tc>
          <w:tcPr>
            <w:tcW w:type="dxa" w:w="5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Hidrossanitária e incêndio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Revisão técnica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Sob demanda</w:t>
            </w:r>
          </w:p>
        </w:tc>
        <w:tc>
          <w:tcPr>
            <w:tcW w:type="dxa" w:w="5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Apoio parcial nos marcos de emissão; pode ser compartilhado com a coordenação</w:t>
            </w:r>
          </w:p>
        </w:tc>
      </w:tr>
    </w:tbl>
    <w:p>
      <w:pPr>
        <w:spacing w:before="0" w:after="40"/>
      </w:pPr>
    </w:p>
    <w:p>
      <w:r>
        <w:rPr>
          <w:rFonts w:ascii="Calibri" w:hAnsi="Calibri" w:eastAsia="Calibri"/>
          <w:b w:val="0"/>
          <w:i w:val="0"/>
          <w:color w:val="1F2937"/>
          <w:sz w:val="22"/>
        </w:rPr>
        <w:t>Equipe-base: 6 profissionais, mobilizados conforme a necessidade e sem dedicação integral simultânea, com revisão técnica adicional nos marcos de emissão. O prazo de 22 dias úteis pressupõe execução paralela e disponibilidade dos especialistas nos períodos indicados.</w:t>
      </w:r>
    </w:p>
    <w:p>
      <w:pPr>
        <w:pStyle w:val="Heading1"/>
      </w:pPr>
      <w:r>
        <w:t>7. Composição comercial</w:t>
      </w:r>
    </w:p>
    <w:p>
      <w:r>
        <w:rPr>
          <w:rFonts w:ascii="Calibri" w:hAnsi="Calibri" w:eastAsia="Calibri"/>
          <w:b w:val="0"/>
          <w:i w:val="0"/>
          <w:color w:val="1F2937"/>
          <w:sz w:val="22"/>
        </w:rPr>
        <w:t>A tabela abaixo apresenta o preço e o prazo por disciplina e o total geral. O valor foi estruturado como proposta competitiva para uma única parada de complexidade típica, com execução paralela e escopo rigidamente limitado às premissas deste documento.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1000"/>
        <w:gridCol w:w="1750"/>
        <w:gridCol w:w="1900"/>
        <w:gridCol w:w="2110"/>
      </w:tblGrid>
      <w:tr>
        <w:trPr>
          <w:tblHeader w:val="true"/>
          <w:cantSplit/>
        </w:trPr>
        <w:tc>
          <w:tcPr>
            <w:tcW w:type="dxa" w:w="2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Disciplina/pacote</w:t>
            </w:r>
          </w:p>
        </w:tc>
        <w:tc>
          <w:tcPr>
            <w:tcW w:type="dxa" w:w="10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Esforço</w:t>
            </w:r>
          </w:p>
        </w:tc>
        <w:tc>
          <w:tcPr>
            <w:tcW w:type="dxa" w:w="17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Prazo próprio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Critério</w:t>
            </w:r>
          </w:p>
        </w:tc>
        <w:tc>
          <w:tcPr>
            <w:tcW w:type="dxa" w:w="21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Preço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Arquitetura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8 HD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8 dias</w:t>
            </w:r>
          </w:p>
        </w:tc>
        <w:tc>
          <w:tcPr>
            <w:tcW w:type="dxa" w:w="190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7"/>
              </w:rPr>
              <w:t>Valor fechado</w:t>
            </w:r>
          </w:p>
        </w:tc>
        <w:tc>
          <w:tcPr>
            <w:tcW w:type="dxa" w:w="211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7"/>
              </w:rPr>
              <w:t>R$ 4.000,00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Concreto e fundações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7 HD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7 dias</w:t>
            </w:r>
          </w:p>
        </w:tc>
        <w:tc>
          <w:tcPr>
            <w:tcW w:type="dxa" w:w="190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7"/>
              </w:rPr>
              <w:t>Valor fechado</w:t>
            </w:r>
          </w:p>
        </w:tc>
        <w:tc>
          <w:tcPr>
            <w:tcW w:type="dxa" w:w="211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7"/>
              </w:rPr>
              <w:t>R$ 4.000,00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Estrutura metálica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9 HD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9 dias</w:t>
            </w:r>
          </w:p>
        </w:tc>
        <w:tc>
          <w:tcPr>
            <w:tcW w:type="dxa" w:w="190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7"/>
              </w:rPr>
              <w:t>Valor fechado</w:t>
            </w:r>
          </w:p>
        </w:tc>
        <w:tc>
          <w:tcPr>
            <w:tcW w:type="dxa" w:w="211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7"/>
              </w:rPr>
              <w:t>R$ 4.000,00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Instalações elétricas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7 HD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7 dias</w:t>
            </w:r>
          </w:p>
        </w:tc>
        <w:tc>
          <w:tcPr>
            <w:tcW w:type="dxa" w:w="190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7"/>
              </w:rPr>
              <w:t>Valor fechado</w:t>
            </w:r>
          </w:p>
        </w:tc>
        <w:tc>
          <w:tcPr>
            <w:tcW w:type="dxa" w:w="211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7"/>
              </w:rPr>
              <w:t>R$ 3.000,00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Instalações hidrossanitárias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5 HD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5 dias</w:t>
            </w:r>
          </w:p>
        </w:tc>
        <w:tc>
          <w:tcPr>
            <w:tcW w:type="dxa" w:w="190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7"/>
              </w:rPr>
              <w:t>Valor fechado</w:t>
            </w:r>
          </w:p>
        </w:tc>
        <w:tc>
          <w:tcPr>
            <w:tcW w:type="dxa" w:w="211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7"/>
              </w:rPr>
              <w:t>R$ 3.000,00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Segurança contra incêndio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4 HD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4 dias</w:t>
            </w:r>
          </w:p>
        </w:tc>
        <w:tc>
          <w:tcPr>
            <w:tcW w:type="dxa" w:w="190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7"/>
              </w:rPr>
              <w:t>Valor fechado</w:t>
            </w:r>
          </w:p>
        </w:tc>
        <w:tc>
          <w:tcPr>
            <w:tcW w:type="dxa" w:w="211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7"/>
              </w:rPr>
              <w:t>R$ 2.300,00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Coordenação BIM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8 HD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22 dias distribuídos</w:t>
            </w:r>
          </w:p>
        </w:tc>
        <w:tc>
          <w:tcPr>
            <w:tcW w:type="dxa" w:w="190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7"/>
              </w:rPr>
              <w:t>Valor fechado</w:t>
            </w:r>
          </w:p>
        </w:tc>
        <w:tc>
          <w:tcPr>
            <w:tcW w:type="dxa" w:w="211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7"/>
              </w:rPr>
              <w:t>R$ 5.000,00</w:t>
            </w:r>
          </w:p>
        </w:tc>
      </w:tr>
      <w:tr>
        <w:trPr>
          <w:cantSplit/>
        </w:trPr>
        <w:tc>
          <w:tcPr>
            <w:tcW w:type="dxa" w:w="2600"/>
            <w:shd w:fill="EAF3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TOTAL GERAL</w:t>
            </w:r>
          </w:p>
        </w:tc>
        <w:tc>
          <w:tcPr>
            <w:tcW w:type="dxa" w:w="1000"/>
            <w:shd w:fill="EAF3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48 HD</w:t>
            </w:r>
          </w:p>
        </w:tc>
        <w:tc>
          <w:tcPr>
            <w:tcW w:type="dxa" w:w="1750"/>
            <w:shd w:fill="EAF3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22 dias úteis</w:t>
            </w:r>
          </w:p>
        </w:tc>
        <w:tc>
          <w:tcPr>
            <w:tcW w:type="dxa" w:w="1900"/>
            <w:shd w:fill="EAF3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/>
            </w:r>
          </w:p>
        </w:tc>
        <w:tc>
          <w:tcPr>
            <w:tcW w:type="dxa" w:w="2110"/>
            <w:shd w:fill="EAF3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F2937"/>
                <w:sz w:val="17"/>
              </w:rPr>
              <w:t>R$ 25.300,00</w:t>
            </w:r>
          </w:p>
        </w:tc>
      </w:tr>
    </w:tbl>
    <w:p>
      <w:pPr>
        <w:spacing w:before="0" w:after="40"/>
      </w:pPr>
    </w:p>
    <w:p>
      <w:pPr>
        <w:pStyle w:val="Heading2"/>
      </w:pPr>
      <w:r>
        <w:t>7.1 Justificativa dos valores revisados</w:t>
      </w:r>
    </w:p>
    <w:p>
      <w:r>
        <w:rPr>
          <w:rFonts w:ascii="Calibri" w:hAnsi="Calibri" w:eastAsia="Calibri"/>
          <w:b/>
          <w:i w:val="0"/>
          <w:color w:val="1F2937"/>
          <w:sz w:val="22"/>
        </w:rPr>
        <w:t xml:space="preserve">Arquitetura: R$ 4.000,00. </w:t>
      </w:r>
      <w:r>
        <w:rPr>
          <w:rFonts w:ascii="Calibri" w:hAnsi="Calibri" w:eastAsia="Calibri"/>
          <w:b w:val="0"/>
          <w:i w:val="0"/>
          <w:color w:val="1F2937"/>
          <w:sz w:val="22"/>
        </w:rPr>
        <w:t>O valor contempla a modelagem arquitetônica em LOD 300 dos elementos documentados da parada, incluindo plataforma, pisos, cobertura, fechamentos, acessibilidade e componentes fixos necessários à coordenação. Pressupõe DWGs e memoriais completos e não inclui desenvolvimento de projeto, detalhamento adicional ou soluções não definidas.</w:t>
      </w:r>
    </w:p>
    <w:p>
      <w:r>
        <w:rPr>
          <w:rFonts w:ascii="Calibri" w:hAnsi="Calibri" w:eastAsia="Calibri"/>
          <w:b/>
          <w:i w:val="0"/>
          <w:color w:val="1F2937"/>
          <w:sz w:val="22"/>
        </w:rPr>
        <w:t xml:space="preserve">Concreto e fundações: R$ 4.000,00. </w:t>
      </w:r>
      <w:r>
        <w:rPr>
          <w:rFonts w:ascii="Calibri" w:hAnsi="Calibri" w:eastAsia="Calibri"/>
          <w:b w:val="0"/>
          <w:i w:val="0"/>
          <w:color w:val="1F2937"/>
          <w:sz w:val="22"/>
        </w:rPr>
        <w:t>O valor corresponde à transposição para Revit dos elementos de concreto e fundações indicados na documentação contratual, incluindo estacas geométricas, blocos, vigas, bases, pedestais e interfaces principais. Não inclui cálculo, dimensionamento, verificação geotécnica, armaduras ou revisão do projeto estrutural.</w:t>
      </w:r>
    </w:p>
    <w:p>
      <w:r>
        <w:rPr>
          <w:rFonts w:ascii="Calibri" w:hAnsi="Calibri" w:eastAsia="Calibri"/>
          <w:b/>
          <w:i w:val="0"/>
          <w:color w:val="1F2937"/>
          <w:sz w:val="22"/>
        </w:rPr>
        <w:t xml:space="preserve">Estrutura metálica: R$ 4.000,00. </w:t>
      </w:r>
      <w:r>
        <w:rPr>
          <w:rFonts w:ascii="Calibri" w:hAnsi="Calibri" w:eastAsia="Calibri"/>
          <w:b w:val="0"/>
          <w:i w:val="0"/>
          <w:color w:val="1F2937"/>
          <w:sz w:val="22"/>
        </w:rPr>
        <w:t>O valor contempla a modelagem em LOD 300 dos perfis, pilares, vigas, pórticos, treliças, contraventamentos e interfaces principais previstos. Pressupõe geometria claramente definida e exclui ligações de fabricação, parafusos, soldas, shop drawings e arquivos CNC.</w:t>
      </w:r>
    </w:p>
    <w:p>
      <w:r>
        <w:rPr>
          <w:rFonts w:ascii="Calibri" w:hAnsi="Calibri" w:eastAsia="Calibri"/>
          <w:b/>
          <w:i w:val="0"/>
          <w:color w:val="1F2937"/>
          <w:sz w:val="22"/>
        </w:rPr>
        <w:t xml:space="preserve">Instalações elétricas: R$ 3.000,00. </w:t>
      </w:r>
      <w:r>
        <w:rPr>
          <w:rFonts w:ascii="Calibri" w:hAnsi="Calibri" w:eastAsia="Calibri"/>
          <w:b w:val="0"/>
          <w:i w:val="0"/>
          <w:color w:val="1F2937"/>
          <w:sz w:val="22"/>
        </w:rPr>
        <w:t>O valor abrange a modelagem dos quadros, luminárias, pontos, equipamentos, eletrocalhas, conduítes e rotas principais expressamente representados. Considera somente a reprodução coordenada das informações fornecidas, sem cálculo de demanda, dimensionamento, seletividade, definição de cargas ou elaboração de projeto de SPDA.</w:t>
      </w:r>
    </w:p>
    <w:p>
      <w:r>
        <w:rPr>
          <w:rFonts w:ascii="Calibri" w:hAnsi="Calibri" w:eastAsia="Calibri"/>
          <w:b/>
          <w:i w:val="0"/>
          <w:color w:val="1F2937"/>
          <w:sz w:val="22"/>
        </w:rPr>
        <w:t xml:space="preserve">Coordenação BIM: R$ 5.000,00. </w:t>
      </w:r>
      <w:r>
        <w:rPr>
          <w:rFonts w:ascii="Calibri" w:hAnsi="Calibri" w:eastAsia="Calibri"/>
          <w:b w:val="0"/>
          <w:i w:val="0"/>
          <w:color w:val="1F2937"/>
          <w:sz w:val="22"/>
        </w:rPr>
        <w:t>O valor contempla mobilização, configuração dos modelos, padronização de unidades, níveis, eixos e vínculos, federação das disciplinas, análise de interfaces, registro de RFIs e controle de qualidade. A atividade acompanha os 22 dias úteis de produção, com esforço distribuído nos marcos de coordenação, uma rodada consolidada e a emissão final.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/>
        </w:trPr>
        <w:tc>
          <w:tcPr>
            <w:tcW w:type="dxa" w:w="9360"/>
            <w:shd w:fill="EAF3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CONDIÇÃO COMERCIAL ESPECÍFICA</w:t>
            </w:r>
          </w:p>
          <w:p>
            <w:pPr>
              <w:spacing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1F4D78"/>
                <w:sz w:val="20"/>
              </w:rPr>
              <w:t>Os valores revisados são aplicáveis exclusivamente à única parada contratada e ao escopo fechado desta proposta. Não constituem preço unitário automático para futuras paradas, variantes, replicações, aditivos ou ampliações de escopo.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/>
        </w:trPr>
        <w:tc>
          <w:tcPr>
            <w:tcW w:type="dxa" w:w="9360"/>
            <w:shd w:fill="E2F0D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375623"/>
                <w:sz w:val="21"/>
              </w:rPr>
              <w:t>PREÇO GLOBAL PROPOSTO</w:t>
            </w:r>
          </w:p>
          <w:p>
            <w:pPr>
              <w:spacing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375623"/>
                <w:sz w:val="20"/>
              </w:rPr>
              <w:t>R$ 25.300,00 (vinte e cinco mil e trezentos reais). Valor bruto para execução remota do escopo descrito, incluindo coordenação, controle de qualidade, licenças ordinárias de trabalho e tributos de responsabilidade da Proponente.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tblHeader w:val="true"/>
          <w:cantSplit/>
        </w:trPr>
        <w:tc>
          <w:tcPr>
            <w:tcW w:type="dxa" w:w="30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Condição comercial</w:t>
            </w:r>
          </w:p>
        </w:tc>
        <w:tc>
          <w:tcPr>
            <w:tcW w:type="dxa" w:w="63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Calibri" w:hAnsi="Calibri" w:eastAsia="Calibri"/>
                <w:b/>
                <w:i w:val="0"/>
                <w:color w:val="1F4D78"/>
                <w:sz w:val="17"/>
              </w:rPr>
              <w:t>Definição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Moeda</w:t>
            </w:r>
          </w:p>
        </w:tc>
        <w:tc>
          <w:tcPr>
            <w:tcW w:type="dxa" w:w="636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8"/>
              </w:rPr>
              <w:t>BRL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Tributos</w:t>
            </w:r>
          </w:p>
        </w:tc>
        <w:tc>
          <w:tcPr>
            <w:tcW w:type="dxa" w:w="636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8"/>
              </w:rPr>
              <w:t>Inclusos no valor bruto; retenções legais na fonte serão aplicadas conforme a legislação e o regime fiscal da Proponente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Condições de pagamento</w:t>
            </w:r>
          </w:p>
        </w:tc>
        <w:tc>
          <w:tcPr>
            <w:tcW w:type="dxa" w:w="636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8"/>
              </w:rPr>
              <w:t>30% na mobilização (R$ 7.590,00); 40% na entrega preliminar (R$ 10.120,00); 30% na entrega final (R$ 7.590,00). Vencimento em 15 dias corridos após cada nota fiscal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Validade da proposta</w:t>
            </w:r>
          </w:p>
        </w:tc>
        <w:tc>
          <w:tcPr>
            <w:tcW w:type="dxa" w:w="636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8"/>
              </w:rPr>
              <w:t>15 dias corridos; início após aceite, primeira parcela e validação integral dos insumos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7"/>
                <w:sz w:val="18"/>
              </w:rPr>
              <w:t>Nomes da equipe</w:t>
            </w:r>
          </w:p>
        </w:tc>
        <w:tc>
          <w:tcPr>
            <w:tcW w:type="dxa" w:w="636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18"/>
              </w:rPr>
              <w:t>A indicar após a programação dos recursos</w:t>
            </w:r>
          </w:p>
        </w:tc>
      </w:tr>
    </w:tbl>
    <w:p>
      <w:pPr>
        <w:spacing w:before="0" w:after="4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/>
        </w:trPr>
        <w:tc>
          <w:tcPr>
            <w:tcW w:type="dxa" w:w="9360"/>
            <w:shd w:fill="FFF2C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7F6000"/>
                <w:sz w:val="21"/>
              </w:rPr>
              <w:t>CONDIÇÃO DE VALIDADE DO PREÇO</w:t>
            </w:r>
          </w:p>
          <w:p>
            <w:pPr>
              <w:spacing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7F6000"/>
                <w:sz w:val="20"/>
              </w:rPr>
              <w:t>O preço é válido para uma única parada de complexidade típica, LOD 300, com DWGs e memoriais completos, uma rodada consolidada de comentários e sem elaboração ou redimensionamento dos projetos. Ausência dos arquivos nativos, divergência material da base, troca da parada, revisão após o início ou aumento de LOD exigirá avaliação de impacto e aditivo previamente autorizado.</w:t>
            </w:r>
          </w:p>
        </w:tc>
      </w:tr>
    </w:tbl>
    <w:p>
      <w:pPr>
        <w:spacing w:after="0"/>
      </w:pPr>
    </w:p>
    <w:p>
      <w:pPr>
        <w:pStyle w:val="Heading1"/>
      </w:pPr>
      <w:r>
        <w:t>8. Premissas e responsabilidades do Contratante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a unidade contratada é uma única parada nominal; outra parada ou variante adicional constitui novo escopo;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a inclusão de duas plataformas ou sentidos deverá ser confirmada como parte da mesma parada e do mesmo conjunto documental;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a estimativa considera uma parada de complexidade típica e deverá ser validada para a parada selecionada;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o Contratante fornecerá documentos completos, vigentes, coordenados e liberados para uso;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as respostas às RFIs críticas deverão ocorrer preferencialmente em até dois dias úteis;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comentários serão enviados em uma única matriz consolidada por um ponto focal;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o tempo de espera por arquivos, respostas, aprovações ou comentários não integra o prazo de produção;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uma nova revisão da base após o congelamento será submetida à análise de impacto antes do retrabalho.</w:t>
      </w:r>
    </w:p>
    <w:p>
      <w:pPr>
        <w:pStyle w:val="Heading1"/>
      </w:pPr>
      <w:r>
        <w:t>9. Condicionantes identificadas no acervo</w:t>
      </w:r>
    </w:p>
    <w:p>
      <w:r>
        <w:rPr>
          <w:rFonts w:ascii="Calibri" w:hAnsi="Calibri" w:eastAsia="Calibri"/>
          <w:b w:val="0"/>
          <w:i w:val="0"/>
          <w:color w:val="1F2937"/>
          <w:sz w:val="22"/>
        </w:rPr>
        <w:t>A análise preliminar identificou condições que justificam o uso formal de RFIs e a confirmação da base contratual antes da modelagem: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famílias arquitetônicas e revisões sobrepostas, sem matriz de supersessão consolidada;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documentos referenciados e não localizados no conjunto, incluindo listas e memoriais;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cobertura documental desigual em algumas paradas e lacunas específicas por disciplina;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divergências entre cargas e fases elétricas, autonomia de iluminação de emergência e componentes de SPDA;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divergência de material do reservatório e cotas incompletas de ligação hidrossanitária;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conflitos de cargas de fundação, chumbadores e códigos ou carimbos estruturais;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inconsistências de código, trecho, nomenclatura e revisão em diferentes pranchas.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/>
        </w:trPr>
        <w:tc>
          <w:tcPr>
            <w:tcW w:type="dxa" w:w="9360"/>
            <w:shd w:fill="FCE4D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9C0006"/>
                <w:sz w:val="21"/>
              </w:rPr>
              <w:t>TRATAMENTO CONTRATUAL</w:t>
            </w:r>
          </w:p>
          <w:p>
            <w:pPr>
              <w:spacing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9C0006"/>
                <w:sz w:val="20"/>
              </w:rPr>
              <w:t>A Contratada modelará conforme a documentação formalmente liberada e não assumirá decisões de projeto. Lacunas, incompatibilidades, dimensões ausentes e informações conflitantes serão registradas como RFI; nenhuma solução de engenharia será inferida sem orientação escrita do Contratante.</w:t>
            </w:r>
          </w:p>
        </w:tc>
      </w:tr>
    </w:tbl>
    <w:p>
      <w:pPr>
        <w:spacing w:after="0"/>
      </w:pPr>
    </w:p>
    <w:p>
      <w:pPr>
        <w:pStyle w:val="Heading1"/>
      </w:pPr>
      <w:r>
        <w:t>10. Exclusões gerais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elaboração, revisão, compatibilização de engenharia, recálculo ou responsabilidade técnica pelos projetos de origem;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ART/RRT, aprovação em órgãos públicos, concessionárias ou Corpo de Bombeiros;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levantamento topográfico, nuvem de pontos, visita cadastral, as built ou validação de condições de campo;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modelagem de armaduras, cabos, fios, parafusos, soldas, ligações LOD 350/400 e componentes internos de equipamentos;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shop drawings, fabricação, montagem, corte, dobra, CNC ou detalhamento executivo adicional;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urbanização, corredor viário, paisagismo, redes públicas e sistemas lineares externos ao limite da parada;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biblioteca independente de famílias, renderizações, planejamento 4D/5D, orçamento ou quantitativos certificados para compra;</w:t>
      </w:r>
    </w:p>
    <w:p>
      <w:pPr>
        <w:keepLines/>
        <w:numPr>
          <w:ilvl w:val="0"/>
          <w:numId w:val="1"/>
        </w:numPr>
        <w:spacing w:after="80" w:line="290" w:lineRule="auto"/>
      </w:pPr>
      <w:r>
        <w:rPr>
          <w:rFonts w:ascii="Calibri" w:hAnsi="Calibri" w:eastAsia="Calibri"/>
          <w:b w:val="0"/>
          <w:i w:val="0"/>
          <w:color w:val="1F2937"/>
          <w:sz w:val="21"/>
        </w:rPr>
        <w:t>reprodução completa de pranchas, memoriais ou documentos não expressamente contratados.</w:t>
      </w:r>
    </w:p>
    <w:p>
      <w:pPr>
        <w:pStyle w:val="Heading1"/>
      </w:pPr>
      <w:r>
        <w:t>11. Revisões, mudanças e encerramento</w:t>
      </w:r>
    </w:p>
    <w:p>
      <w:r>
        <w:rPr>
          <w:rFonts w:ascii="Calibri" w:hAnsi="Calibri" w:eastAsia="Calibri"/>
          <w:b w:val="0"/>
          <w:i w:val="0"/>
          <w:color w:val="1F2937"/>
          <w:sz w:val="22"/>
        </w:rPr>
        <w:t>Está incluída uma rodada de comentários consolidada. Correções de divergências entre o modelo e a base contratual congelada permanecem incluídas. Não estão incluídas alterações de projeto, substituição de documentos, mudança da parada, mudança de coordenadas, aumento de LOD, comentários fragmentados ou ciclos adicionais.</w:t>
      </w:r>
    </w:p>
    <w:p>
      <w:r>
        <w:rPr>
          <w:rFonts w:ascii="Calibri" w:hAnsi="Calibri" w:eastAsia="Calibri"/>
          <w:b w:val="0"/>
          <w:i w:val="0"/>
          <w:color w:val="1F2937"/>
          <w:sz w:val="22"/>
        </w:rPr>
        <w:t>Qualquer mudança posterior ao Marco de Liberação para Produção será avaliada quanto a impacto de escopo, esforço, preço e prazo antes da execução.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/>
        </w:trPr>
        <w:tc>
          <w:tcPr>
            <w:tcW w:type="dxa" w:w="9360"/>
            <w:shd w:fill="E2F0D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60"/>
            </w:pPr>
            <w:r>
              <w:rPr>
                <w:rFonts w:ascii="Calibri" w:hAnsi="Calibri" w:eastAsia="Calibri"/>
                <w:b/>
                <w:i w:val="0"/>
                <w:color w:val="375623"/>
                <w:sz w:val="21"/>
              </w:rPr>
              <w:t>PRÓXIMO PASSO</w:t>
            </w:r>
          </w:p>
          <w:p>
            <w:pPr>
              <w:spacing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375623"/>
                <w:sz w:val="20"/>
              </w:rPr>
              <w:t>Indicar a parada a ser modelada, disponibilizar a lista mestra e os arquivos nativos vigentes e formalizar o aceite, a mobilização e a ordem de início.</w:t>
            </w:r>
          </w:p>
        </w:tc>
      </w:tr>
    </w:tbl>
    <w:p>
      <w:pPr>
        <w:spacing w:after="0"/>
      </w:pPr>
    </w:p>
    <w:p>
      <w:pPr>
        <w:pStyle w:val="Heading1"/>
      </w:pPr>
      <w:r>
        <w:t>Aceite</w:t>
      </w:r>
    </w:p>
    <w:p>
      <w:r>
        <w:rPr>
          <w:rFonts w:ascii="Calibri" w:hAnsi="Calibri" w:eastAsia="Calibri"/>
          <w:b w:val="0"/>
          <w:i w:val="0"/>
          <w:color w:val="1F2937"/>
          <w:sz w:val="22"/>
        </w:rPr>
        <w:t>As assinaturas abaixo formalizam o aceite do escopo, do preço, do prazo e das condições comerciais desta proposta.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i w:val="0"/>
                <w:color w:val="1F4D78"/>
                <w:sz w:val="18"/>
              </w:rPr>
              <w:t>PROPONENTE</w:t>
            </w:r>
          </w:p>
        </w:tc>
        <w:tc>
          <w:tcPr>
            <w:tcW w:type="dxa" w:w="468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i w:val="0"/>
                <w:color w:val="1F4D78"/>
                <w:sz w:val="18"/>
              </w:rPr>
              <w:t>CONSÓRCIO SHA MOBILIDADE ARICANDUVA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Responsável: __________________________</w:t>
              <w:br/>
              <w:t>Data: ____ / ____ / ______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7"/>
              <w:left w:val="single" w:sz="4" w:space="0" w:color="D7DEE7"/>
              <w:bottom w:val="single" w:sz="4" w:space="0" w:color="D7DEE7"/>
              <w:right w:val="single" w:sz="4" w:space="0" w:color="D7DEE7"/>
              <w:insideH w:val="single" w:sz="4" w:space="0" w:color="D7DEE7"/>
              <w:insideV w:val="single" w:sz="4" w:space="0" w:color="D7DEE7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Responsável: __________________________</w:t>
              <w:br/>
              <w:t>Data: ____ / ____ / 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 w:eastAsia="Calibri"/>
        <w:b w:val="0"/>
        <w:i w:val="0"/>
        <w:color w:val="5B6573"/>
        <w:sz w:val="16"/>
      </w:rPr>
      <w:t xml:space="preserve">Proposta comercial precificada, revisão 1.1  |  </w:t>
    </w:r>
    <w:r>
      <w:rPr>
        <w:rFonts w:ascii="Calibri" w:hAnsi="Calibri" w:eastAsia="Calibri"/>
        <w:b w:val="0"/>
        <w:i w:val="0"/>
        <w:color w:val="5B6573"/>
        <w:sz w:val="16"/>
      </w:rPr>
      <w:fldChar w:fldCharType="begin"/>
      <w:instrText xml:space="preserve">PAGE</w:instrText>
      <w:fldChar w:fldCharType="separate">
        <w:t>1</w:t>
      </w:fldChar>
      <w:fldChar w:fldCharType="end"/>
    </w:r>
    <w:r>
      <w:rPr>
        <w:rFonts w:ascii="Calibri" w:hAnsi="Calibri" w:eastAsia="Calibri"/>
        <w:b w:val="0"/>
        <w:i w:val="0"/>
        <w:color w:val="5B6573"/>
        <w:sz w:val="16"/>
      </w:rPr>
      <w:t xml:space="preserve"> / </w:t>
    </w:r>
    <w:r>
      <w:rPr>
        <w:rFonts w:ascii="Calibri" w:hAnsi="Calibri" w:eastAsia="Calibri"/>
        <w:b w:val="0"/>
        <w:i w:val="0"/>
        <w:color w:val="5B6573"/>
        <w:sz w:val="16"/>
      </w:rPr>
      <w:fldChar w:fldCharType="begin"/>
      <w:instrText xml:space="preserve">NUMPAGES</w:instrText>
      <w:fldChar w:fldCharType="separate">
        <w:t>1</w:t>
      </w:fldCha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eastAsia="Calibri"/>
        <w:b/>
        <w:i w:val="0"/>
        <w:color w:val="5B6573"/>
        <w:sz w:val="16"/>
      </w:rPr>
      <w:t>PROPOSTA AO CONSÓRCIO SHA MOBILIDADE ARICANDUVA  |  MODELAGEM BIM/REVIT BRT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540"/>
        </w:tabs>
        <w:ind w:left="540" w:hanging="279"/>
        <w:spacing w:after="80" w:line="290" w:lineRule="auto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540"/>
        </w:tabs>
        <w:ind w:left="540" w:hanging="279"/>
        <w:spacing w:after="80" w:line="29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60" w:line="320" w:lineRule="auto"/>
      <w:jc w:val="both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posalSmall">
    <w:name w:val="Proposal Small"/>
    <w:pPr>
      <w:spacing w:before="0" w:after="80" w:line="276" w:lineRule="auto"/>
    </w:pPr>
    <w:rPr>
      <w:rFonts w:ascii="Calibri" w:hAnsi="Calibri"/>
      <w:i w:val="0"/>
      <w:color w:val="5B6573"/>
      <w:sz w:val="17"/>
    </w:rPr>
  </w:style>
  <w:style w:type="paragraph" w:customStyle="1" w:styleId="ProposalNote">
    <w:name w:val="Proposal Note"/>
    <w:pPr>
      <w:spacing w:before="0" w:after="80" w:line="276" w:lineRule="auto"/>
    </w:pPr>
    <w:rPr>
      <w:rFonts w:ascii="Calibri" w:hAnsi="Calibri"/>
      <w:i w:val="0"/>
      <w:color w:val="1F4D78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Técnica: Modelagem Revit de uma Parada BRT</dc:title>
  <dc:subject>Proposta técnica e comercial precificada, revisão 1.1</dc:subject>
  <dc:creator>Proponente a definir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